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1A19F3" w:rsidRPr="00F537B6" w:rsidRDefault="001A19F3" w:rsidP="001A19F3">
      <w:pPr>
        <w:pStyle w:val="Default"/>
        <w:jc w:val="center"/>
        <w:rPr>
          <w:rFonts w:ascii="Times New Roman" w:hAnsi="Times New Roman" w:cs="Times New Roman"/>
          <w:b/>
          <w:bCs/>
        </w:rPr>
      </w:pPr>
      <w:r w:rsidRPr="00F537B6">
        <w:rPr>
          <w:rFonts w:ascii="Times New Roman" w:hAnsi="Times New Roman" w:cs="Times New Roman"/>
          <w:b/>
          <w:bCs/>
        </w:rPr>
        <w:t>Indoklás</w:t>
      </w:r>
    </w:p>
    <w:p w:rsidR="001A19F3" w:rsidRPr="00F537B6" w:rsidRDefault="001A19F3" w:rsidP="001A19F3">
      <w:pPr>
        <w:pStyle w:val="Szvegtrzs"/>
        <w:tabs>
          <w:tab w:val="left" w:pos="9540"/>
        </w:tabs>
        <w:ind w:right="97"/>
        <w:rPr>
          <w:color w:val="000000"/>
        </w:rPr>
      </w:pPr>
    </w:p>
    <w:p w:rsidR="001A19F3" w:rsidRPr="001A19F3" w:rsidRDefault="001A19F3" w:rsidP="001A19F3">
      <w:pPr>
        <w:jc w:val="both"/>
      </w:pPr>
      <w:r w:rsidRPr="00351E61">
        <w:rPr>
          <w:i/>
        </w:rPr>
        <w:t>A jogalkotásról</w:t>
      </w:r>
      <w:r w:rsidRPr="001A19F3">
        <w:t xml:space="preserve"> szóló 2010. évi CXXX. törvény 18. §-ában foglaltak </w:t>
      </w:r>
      <w:r w:rsidRPr="003F16D0">
        <w:t xml:space="preserve">szerint eljárva </w:t>
      </w:r>
      <w:r w:rsidR="000E575B" w:rsidRPr="00426DDE">
        <w:rPr>
          <w:i/>
          <w:snapToGrid w:val="0"/>
        </w:rPr>
        <w:t>Balaton</w:t>
      </w:r>
      <w:r w:rsidR="00797B3C">
        <w:rPr>
          <w:i/>
          <w:snapToGrid w:val="0"/>
        </w:rPr>
        <w:t>-</w:t>
      </w:r>
      <w:r w:rsidR="000E575B" w:rsidRPr="00426DDE">
        <w:rPr>
          <w:i/>
          <w:snapToGrid w:val="0"/>
        </w:rPr>
        <w:t>akali</w:t>
      </w:r>
      <w:r w:rsidR="000E575B">
        <w:rPr>
          <w:i/>
          <w:snapToGrid w:val="0"/>
        </w:rPr>
        <w:t xml:space="preserve"> község</w:t>
      </w:r>
      <w:r w:rsidR="000E575B" w:rsidRPr="00426DDE">
        <w:rPr>
          <w:i/>
          <w:snapToGrid w:val="0"/>
        </w:rPr>
        <w:t xml:space="preserve"> Helyi Építési Szabályzatáról</w:t>
      </w:r>
      <w:r w:rsidR="000E575B">
        <w:rPr>
          <w:i/>
          <w:snapToGrid w:val="0"/>
        </w:rPr>
        <w:t xml:space="preserve"> </w:t>
      </w:r>
      <w:r w:rsidR="000E575B" w:rsidRPr="0035424D">
        <w:rPr>
          <w:snapToGrid w:val="0"/>
        </w:rPr>
        <w:t>szóló</w:t>
      </w:r>
      <w:r w:rsidR="000E575B" w:rsidRPr="00426DDE">
        <w:rPr>
          <w:b/>
          <w:snapToGrid w:val="0"/>
        </w:rPr>
        <w:t xml:space="preserve"> </w:t>
      </w:r>
      <w:r w:rsidRPr="001A19F3">
        <w:t xml:space="preserve">rendelet tervezetét az alábbiak szerint indokolom. </w:t>
      </w:r>
    </w:p>
    <w:p w:rsidR="001A19F3" w:rsidRPr="00F537B6" w:rsidRDefault="001A19F3" w:rsidP="001A19F3"/>
    <w:p w:rsidR="001A19F3" w:rsidRPr="00F537B6" w:rsidRDefault="001A19F3" w:rsidP="001A19F3">
      <w:pPr>
        <w:rPr>
          <w:b/>
          <w:bCs/>
        </w:rPr>
      </w:pPr>
      <w:r w:rsidRPr="00F537B6">
        <w:rPr>
          <w:b/>
          <w:bCs/>
        </w:rPr>
        <w:t>Általános Indoklás</w:t>
      </w:r>
    </w:p>
    <w:p w:rsidR="001A19F3" w:rsidRDefault="001A19F3" w:rsidP="001A19F3"/>
    <w:p w:rsidR="00CA7C9A" w:rsidRPr="00CA7C9A" w:rsidRDefault="00CA7C9A" w:rsidP="00CA7C9A">
      <w:pPr>
        <w:jc w:val="both"/>
      </w:pPr>
      <w:r>
        <w:rPr>
          <w:lang w:eastAsia="en-US"/>
        </w:rPr>
        <w:t>A</w:t>
      </w:r>
      <w:r w:rsidRPr="00CA7C9A">
        <w:rPr>
          <w:lang w:eastAsia="en-US"/>
        </w:rPr>
        <w:t xml:space="preserve"> képviselőtestület </w:t>
      </w:r>
      <w:r>
        <w:rPr>
          <w:lang w:eastAsia="en-US"/>
        </w:rPr>
        <w:t xml:space="preserve"> </w:t>
      </w:r>
      <w:r w:rsidRPr="00CA7C9A">
        <w:rPr>
          <w:lang w:eastAsia="en-US"/>
        </w:rPr>
        <w:t>66/2021.</w:t>
      </w:r>
      <w:r>
        <w:rPr>
          <w:lang w:eastAsia="en-US"/>
        </w:rPr>
        <w:t xml:space="preserve"> </w:t>
      </w:r>
      <w:r w:rsidRPr="00CA7C9A">
        <w:rPr>
          <w:lang w:eastAsia="en-US"/>
        </w:rPr>
        <w:t>(IV.29</w:t>
      </w:r>
      <w:r>
        <w:rPr>
          <w:lang w:eastAsia="en-US"/>
        </w:rPr>
        <w:t>.</w:t>
      </w:r>
      <w:r w:rsidRPr="00CA7C9A">
        <w:rPr>
          <w:lang w:eastAsia="en-US"/>
        </w:rPr>
        <w:t xml:space="preserve">) </w:t>
      </w:r>
      <w:r>
        <w:rPr>
          <w:lang w:eastAsia="en-US"/>
        </w:rPr>
        <w:t xml:space="preserve">számú </w:t>
      </w:r>
      <w:r w:rsidRPr="00CA7C9A">
        <w:rPr>
          <w:lang w:eastAsia="en-US"/>
        </w:rPr>
        <w:t xml:space="preserve">határozatában döntött, </w:t>
      </w:r>
      <w:r w:rsidRPr="00CA7C9A">
        <w:t>Balatonakali község hatályos településrendezési eszközeinek felülvizsgálatáról, melyet ún. „teljes eljárásban” folytattunk le a 314/2012.(XI.8) kormányrendelet (továbbiakban: R) 36.§ - 40.§ alapján.</w:t>
      </w:r>
    </w:p>
    <w:p w:rsidR="00CA7C9A" w:rsidRDefault="00CA7C9A" w:rsidP="00CA7C9A">
      <w:pPr>
        <w:jc w:val="both"/>
      </w:pPr>
    </w:p>
    <w:p w:rsidR="00CA7C9A" w:rsidRPr="00CA7C9A" w:rsidRDefault="00CA7C9A" w:rsidP="00CA7C9A">
      <w:pPr>
        <w:jc w:val="both"/>
      </w:pPr>
      <w:r w:rsidRPr="00CA7C9A">
        <w:t>Az előzetes tájékoztatási szakaszban megkerestük a „R” 9. melléklete szerinti, az egyeztetési eljárásban résztvevő államigazgatási szerveket. A vélemények megküldését követően készült el az új rendezési terv véleményezésre bocsátott tervezete, melyet az államigazgatási szervekkel és a partnerekkel is egyeztettünk.</w:t>
      </w:r>
    </w:p>
    <w:p w:rsidR="00CA7C9A" w:rsidRDefault="00CA7C9A" w:rsidP="00CA7C9A">
      <w:pPr>
        <w:jc w:val="both"/>
      </w:pPr>
    </w:p>
    <w:p w:rsidR="00CA7C9A" w:rsidRDefault="00CA7C9A" w:rsidP="00CA7C9A">
      <w:pPr>
        <w:jc w:val="both"/>
      </w:pPr>
      <w:r w:rsidRPr="00CA7C9A">
        <w:t>Az eljárásban keletkezett véleményeket, észrevételeket, a testület megismerte, a tervezők ezekre a válaszokat megadták, illetve a véleményeket átvezettük az egyeztetési anyagba. Így jött létre a 2023. június 15-i eltérő vélemények egyeztető tárgyalásán bemutatott anyag. A tárgyalásra azokat a véleményezőket hívtuk meg, akiknek a megfogalmazott véleménye további egyeztetést igényel. Így a Környezetvédelmi Főosztályt, a Nemzeti Parkot és az Állami Főépítészi irodát. A tárgyalásról emlékeztető készült, melynek elfogadását a résztvevők visszaigazolták.</w:t>
      </w:r>
    </w:p>
    <w:p w:rsidR="00CA7C9A" w:rsidRPr="00CA7C9A" w:rsidRDefault="00CA7C9A" w:rsidP="00CA7C9A">
      <w:pPr>
        <w:jc w:val="both"/>
      </w:pPr>
    </w:p>
    <w:p w:rsidR="00CA7C9A" w:rsidRPr="00CA7C9A" w:rsidRDefault="00CA7C9A" w:rsidP="00CA7C9A">
      <w:pPr>
        <w:jc w:val="both"/>
      </w:pPr>
      <w:r w:rsidRPr="00CA7C9A">
        <w:t xml:space="preserve">Az egyeztetés eljárás végeztével a </w:t>
      </w:r>
      <w:r>
        <w:t>Képviselő</w:t>
      </w:r>
      <w:r w:rsidRPr="00CA7C9A">
        <w:t>testület 95/2023.</w:t>
      </w:r>
      <w:r>
        <w:t xml:space="preserve"> </w:t>
      </w:r>
      <w:r w:rsidRPr="00CA7C9A">
        <w:t>(VI.28</w:t>
      </w:r>
      <w:r>
        <w:t>.</w:t>
      </w:r>
      <w:r w:rsidRPr="00CA7C9A">
        <w:t>)</w:t>
      </w:r>
      <w:r>
        <w:t xml:space="preserve"> </w:t>
      </w:r>
      <w:r w:rsidRPr="00CA7C9A">
        <w:t>határozatával az államigazgatási és a partnerségi véleményezést lezárta.</w:t>
      </w:r>
    </w:p>
    <w:p w:rsidR="00CA7C9A" w:rsidRDefault="00CA7C9A" w:rsidP="001A19F3"/>
    <w:p w:rsidR="00CA7C9A" w:rsidRPr="00CA7C9A" w:rsidRDefault="00CA7C9A" w:rsidP="00CA7C9A">
      <w:pPr>
        <w:jc w:val="both"/>
      </w:pPr>
      <w:r w:rsidRPr="00CA7C9A">
        <w:t>Az állami főépítész szakmai záróvéleményét az alábbiakban foglalta össze:</w:t>
      </w:r>
    </w:p>
    <w:p w:rsidR="00CA7C9A" w:rsidRPr="00CA7C9A" w:rsidRDefault="00CA7C9A" w:rsidP="00CA7C9A">
      <w:pPr>
        <w:autoSpaceDE w:val="0"/>
        <w:autoSpaceDN w:val="0"/>
        <w:adjustRightInd w:val="0"/>
        <w:jc w:val="both"/>
        <w:rPr>
          <w:rFonts w:eastAsia="Calibri"/>
          <w:bCs/>
        </w:rPr>
      </w:pPr>
      <w:r>
        <w:rPr>
          <w:rFonts w:eastAsia="Calibri"/>
          <w:bCs/>
        </w:rPr>
        <w:t>„</w:t>
      </w:r>
      <w:r w:rsidRPr="00CA7C9A">
        <w:rPr>
          <w:rFonts w:eastAsia="Calibri"/>
          <w:bCs/>
        </w:rPr>
        <w:t xml:space="preserve">Balatonakali község új településrendezési eszközeire irányuló záró véleményem – a helyi építési szabályzat és szabályozási terv jelen záró szakmai véleményemben foglaltak szerinti javítása, kiegészítése mellett </w:t>
      </w:r>
      <w:r w:rsidRPr="00CA7C9A">
        <w:rPr>
          <w:rFonts w:eastAsia="Calibri"/>
        </w:rPr>
        <w:t xml:space="preserve">– </w:t>
      </w:r>
      <w:r w:rsidRPr="00CA7C9A">
        <w:rPr>
          <w:rFonts w:eastAsia="Calibri"/>
          <w:bCs/>
        </w:rPr>
        <w:t>egyetértő, a tervdokumentáció képviselő-testületi jóváhagyása ellen kifogást nem emelek.</w:t>
      </w:r>
      <w:r>
        <w:rPr>
          <w:rFonts w:eastAsia="Calibri"/>
          <w:bCs/>
        </w:rPr>
        <w:t>”</w:t>
      </w:r>
    </w:p>
    <w:p w:rsidR="00CA7C9A" w:rsidRDefault="00CA7C9A" w:rsidP="000E575B">
      <w:pPr>
        <w:autoSpaceDE w:val="0"/>
        <w:autoSpaceDN w:val="0"/>
        <w:adjustRightInd w:val="0"/>
        <w:jc w:val="both"/>
        <w:rPr>
          <w:i/>
        </w:rPr>
      </w:pPr>
    </w:p>
    <w:p w:rsidR="003F16D0" w:rsidRDefault="000E575B" w:rsidP="000E575B">
      <w:pPr>
        <w:autoSpaceDE w:val="0"/>
        <w:autoSpaceDN w:val="0"/>
        <w:adjustRightInd w:val="0"/>
        <w:jc w:val="both"/>
      </w:pPr>
      <w:r w:rsidRPr="000E575B">
        <w:rPr>
          <w:i/>
        </w:rPr>
        <w:t>Az épített környezet alakításáról és védelméről</w:t>
      </w:r>
      <w:r w:rsidRPr="000E575B">
        <w:t xml:space="preserve"> szóló 1997. évi LXXVIII. törvény 6/A. § (3) bekezdésében és a 62.</w:t>
      </w:r>
      <w:r w:rsidR="003E10D2">
        <w:t xml:space="preserve"> </w:t>
      </w:r>
      <w:r w:rsidRPr="000E575B">
        <w:t>§ (6) bekezdés 6.) pontjában kapott felhatalmazás alapján</w:t>
      </w:r>
      <w:r w:rsidR="003F16D0">
        <w:t xml:space="preserve"> törvényben foglalt</w:t>
      </w:r>
      <w:r>
        <w:t xml:space="preserve"> rendeletalkotási kötelezettséggel lehet a HÉSZ-t elfogadni</w:t>
      </w:r>
      <w:r w:rsidR="003F16D0">
        <w:t xml:space="preserve">. </w:t>
      </w:r>
    </w:p>
    <w:p w:rsidR="000E575B" w:rsidRDefault="000E575B" w:rsidP="000E575B"/>
    <w:p w:rsidR="003F16D0" w:rsidRDefault="003F16D0" w:rsidP="001A19F3">
      <w:pPr>
        <w:jc w:val="both"/>
      </w:pPr>
    </w:p>
    <w:p w:rsidR="001A19F3" w:rsidRPr="00F537B6" w:rsidRDefault="001A19F3" w:rsidP="00125D33">
      <w:pPr>
        <w:jc w:val="both"/>
        <w:rPr>
          <w:b/>
          <w:bCs/>
        </w:rPr>
      </w:pPr>
      <w:r w:rsidRPr="00F537B6">
        <w:rPr>
          <w:b/>
          <w:bCs/>
        </w:rPr>
        <w:t>Részletes indoklás</w:t>
      </w:r>
    </w:p>
    <w:p w:rsidR="00254E19" w:rsidRPr="00254E19" w:rsidRDefault="00254E19" w:rsidP="00125D33">
      <w:pPr>
        <w:jc w:val="both"/>
        <w:rPr>
          <w:b/>
        </w:rPr>
      </w:pPr>
      <w:r w:rsidRPr="00254E19">
        <w:rPr>
          <w:b/>
        </w:rPr>
        <w:t>I.rész</w:t>
      </w:r>
    </w:p>
    <w:p w:rsidR="001A19F3" w:rsidRDefault="00602A21" w:rsidP="00125D33">
      <w:pPr>
        <w:jc w:val="both"/>
      </w:pPr>
      <w:r>
        <w:t>I. fejezet: Általános előírások</w:t>
      </w:r>
    </w:p>
    <w:p w:rsidR="001A19F3" w:rsidRDefault="001A19F3" w:rsidP="00125D33">
      <w:pPr>
        <w:jc w:val="both"/>
      </w:pPr>
      <w:r>
        <w:t xml:space="preserve">Az </w:t>
      </w:r>
      <w:r w:rsidRPr="00F537B6">
        <w:t>1.</w:t>
      </w:r>
      <w:r w:rsidR="00351E61">
        <w:t xml:space="preserve"> </w:t>
      </w:r>
      <w:r w:rsidRPr="00F537B6">
        <w:t>§-hoz</w:t>
      </w:r>
      <w:r w:rsidR="00351E61">
        <w:t>.</w:t>
      </w:r>
      <w:r>
        <w:t xml:space="preserve"> Ezen § tartalmazza a</w:t>
      </w:r>
      <w:r w:rsidR="003F16D0">
        <w:t xml:space="preserve"> rendelet hatályát</w:t>
      </w:r>
      <w:r>
        <w:t xml:space="preserve">.  </w:t>
      </w:r>
    </w:p>
    <w:p w:rsidR="001A19F3" w:rsidRDefault="001A19F3" w:rsidP="00125D33">
      <w:pPr>
        <w:jc w:val="both"/>
      </w:pPr>
      <w:r>
        <w:t>A 2</w:t>
      </w:r>
      <w:r w:rsidRPr="00F537B6">
        <w:t>.</w:t>
      </w:r>
      <w:r w:rsidR="00351E61">
        <w:t xml:space="preserve"> </w:t>
      </w:r>
      <w:r w:rsidRPr="00F537B6">
        <w:t>§-hoz</w:t>
      </w:r>
      <w:r w:rsidR="00351E61">
        <w:t>.</w:t>
      </w:r>
      <w:r w:rsidRPr="00F537B6">
        <w:t xml:space="preserve"> Ezen § </w:t>
      </w:r>
      <w:r>
        <w:t xml:space="preserve">tartalmazza a </w:t>
      </w:r>
      <w:r w:rsidR="000E575B">
        <w:t>fogalom meghatározásokat.</w:t>
      </w:r>
      <w:r w:rsidR="003F16D0">
        <w:t xml:space="preserve"> </w:t>
      </w:r>
      <w:r>
        <w:t xml:space="preserve"> </w:t>
      </w:r>
    </w:p>
    <w:p w:rsidR="000E575B" w:rsidRPr="00602A21" w:rsidRDefault="001A19F3" w:rsidP="00125D33">
      <w:r>
        <w:t>A 3</w:t>
      </w:r>
      <w:r w:rsidRPr="00F537B6">
        <w:t>.</w:t>
      </w:r>
      <w:r w:rsidR="00351E61">
        <w:t xml:space="preserve"> </w:t>
      </w:r>
      <w:r w:rsidRPr="00F537B6">
        <w:t>§-hoz</w:t>
      </w:r>
      <w:r w:rsidR="00351E61">
        <w:t>.</w:t>
      </w:r>
      <w:r w:rsidRPr="00F537B6">
        <w:t xml:space="preserve"> Ezen § határozza </w:t>
      </w:r>
      <w:r w:rsidR="00602A21" w:rsidRPr="00602A21">
        <w:t>meg a</w:t>
      </w:r>
      <w:r w:rsidR="0044014A">
        <w:t xml:space="preserve"> közterület alakítás </w:t>
      </w:r>
      <w:r w:rsidR="000E575B" w:rsidRPr="00602A21">
        <w:t>szabályozás</w:t>
      </w:r>
      <w:r w:rsidR="001041A2">
        <w:t>i</w:t>
      </w:r>
      <w:r w:rsidR="000E575B" w:rsidRPr="00602A21">
        <w:t xml:space="preserve"> </w:t>
      </w:r>
      <w:r w:rsidR="0044014A">
        <w:t>előírásai</w:t>
      </w:r>
      <w:r w:rsidR="00602A21" w:rsidRPr="00602A21">
        <w:t>t</w:t>
      </w:r>
      <w:r w:rsidR="00602A21">
        <w:t>.</w:t>
      </w:r>
    </w:p>
    <w:p w:rsidR="003F16D0" w:rsidRDefault="003F16D0" w:rsidP="00125D33">
      <w:pPr>
        <w:jc w:val="both"/>
      </w:pPr>
    </w:p>
    <w:p w:rsidR="00602A21" w:rsidRPr="0044014A" w:rsidRDefault="00602A21" w:rsidP="0044014A">
      <w:pPr>
        <w:pStyle w:val="Style6"/>
        <w:widowControl/>
        <w:tabs>
          <w:tab w:val="left" w:pos="192"/>
          <w:tab w:val="left" w:leader="dot" w:pos="8890"/>
        </w:tabs>
        <w:rPr>
          <w:rFonts w:ascii="Times New Roman" w:hAnsi="Times New Roman" w:cs="Times New Roman"/>
        </w:rPr>
      </w:pPr>
      <w:r w:rsidRPr="0044014A">
        <w:rPr>
          <w:rFonts w:ascii="Times New Roman" w:hAnsi="Times New Roman" w:cs="Times New Roman"/>
        </w:rPr>
        <w:t>II. fejezet: AZ ÉPÍTETT KÖRNYEZET ALAKÍTÁSÁRA VONATKOZÓ ELŐÍRÁSOK</w:t>
      </w:r>
    </w:p>
    <w:p w:rsidR="00602A21" w:rsidRDefault="00051430" w:rsidP="00125D33">
      <w:pPr>
        <w:rPr>
          <w:bCs/>
        </w:rPr>
      </w:pPr>
      <w:r>
        <w:t xml:space="preserve">A </w:t>
      </w:r>
      <w:r w:rsidR="0044014A">
        <w:t>4</w:t>
      </w:r>
      <w:r w:rsidR="00602A21">
        <w:t>.</w:t>
      </w:r>
      <w:r w:rsidR="00351E61">
        <w:t xml:space="preserve"> </w:t>
      </w:r>
      <w:r w:rsidRPr="00F537B6">
        <w:t>§-hoz</w:t>
      </w:r>
      <w:r w:rsidR="00351E61">
        <w:t>.</w:t>
      </w:r>
      <w:r w:rsidRPr="00051430">
        <w:t xml:space="preserve"> </w:t>
      </w:r>
      <w:r>
        <w:t>Itt kerül</w:t>
      </w:r>
      <w:r w:rsidR="003F16D0">
        <w:t>nek</w:t>
      </w:r>
      <w:r>
        <w:t xml:space="preserve"> rögzítésre </w:t>
      </w:r>
      <w:r w:rsidR="00602A21" w:rsidRPr="00602A21">
        <w:t>a</w:t>
      </w:r>
      <w:r w:rsidR="00602A21" w:rsidRPr="00602A21">
        <w:rPr>
          <w:bCs/>
        </w:rPr>
        <w:t>z épített környezet értékeinek védelme</w:t>
      </w:r>
    </w:p>
    <w:p w:rsidR="0044014A" w:rsidRDefault="0044014A" w:rsidP="0044014A">
      <w:pPr>
        <w:rPr>
          <w:bCs/>
        </w:rPr>
      </w:pPr>
      <w:r>
        <w:t xml:space="preserve">A 5. </w:t>
      </w:r>
      <w:r w:rsidRPr="00F537B6">
        <w:t>§-hoz</w:t>
      </w:r>
      <w:r>
        <w:t>.</w:t>
      </w:r>
      <w:r w:rsidRPr="00051430">
        <w:t xml:space="preserve"> </w:t>
      </w:r>
      <w:r>
        <w:t xml:space="preserve">Itt kerülnek rögzítésre </w:t>
      </w:r>
      <w:r w:rsidR="00B90520">
        <w:t>a régészeti lelőhelyek</w:t>
      </w:r>
    </w:p>
    <w:p w:rsidR="0044014A" w:rsidRDefault="0044014A" w:rsidP="00125D33">
      <w:pPr>
        <w:rPr>
          <w:rFonts w:ascii="Arial" w:hAnsi="Arial" w:cs="Arial"/>
          <w:b/>
          <w:bCs/>
          <w:sz w:val="22"/>
          <w:szCs w:val="22"/>
        </w:rPr>
      </w:pPr>
    </w:p>
    <w:p w:rsidR="00B90520" w:rsidRPr="00B90520" w:rsidRDefault="00B90520" w:rsidP="00B90520">
      <w:pPr>
        <w:keepNext/>
      </w:pPr>
      <w:r w:rsidRPr="00B90520">
        <w:rPr>
          <w:bCs/>
        </w:rPr>
        <w:lastRenderedPageBreak/>
        <w:t>III. Fejezet: A táj és a természeti környezet védelmére vonatkozó előírások</w:t>
      </w:r>
    </w:p>
    <w:p w:rsidR="00B90520" w:rsidRDefault="00B90520" w:rsidP="00125D33">
      <w:pPr>
        <w:rPr>
          <w:rFonts w:ascii="Arial" w:hAnsi="Arial" w:cs="Arial"/>
          <w:b/>
          <w:bCs/>
          <w:sz w:val="22"/>
          <w:szCs w:val="22"/>
        </w:rPr>
      </w:pPr>
      <w:r>
        <w:t xml:space="preserve">A 6 §-hoz: </w:t>
      </w:r>
      <w:r w:rsidRPr="00125D33">
        <w:t>A táj és a természeti környezet védelmére vonatkozó előírások</w:t>
      </w:r>
    </w:p>
    <w:p w:rsidR="00B90520" w:rsidRDefault="00B90520" w:rsidP="00125D33">
      <w:pPr>
        <w:rPr>
          <w:rFonts w:ascii="Arial" w:hAnsi="Arial" w:cs="Arial"/>
          <w:b/>
          <w:bCs/>
          <w:sz w:val="22"/>
          <w:szCs w:val="22"/>
        </w:rPr>
      </w:pPr>
    </w:p>
    <w:p w:rsidR="00125D33" w:rsidRDefault="00125D33" w:rsidP="00125D33">
      <w:r>
        <w:t xml:space="preserve">A </w:t>
      </w:r>
      <w:r w:rsidR="00B90520">
        <w:t>7</w:t>
      </w:r>
      <w:r>
        <w:t>-</w:t>
      </w:r>
      <w:r w:rsidR="001041A2">
        <w:t>1</w:t>
      </w:r>
      <w:r>
        <w:t>2</w:t>
      </w:r>
      <w:r w:rsidRPr="00F537B6">
        <w:t>.</w:t>
      </w:r>
      <w:r>
        <w:t xml:space="preserve"> </w:t>
      </w:r>
      <w:r w:rsidRPr="00F537B6">
        <w:t>§-</w:t>
      </w:r>
      <w:r>
        <w:t>ok</w:t>
      </w:r>
      <w:r w:rsidRPr="00F537B6">
        <w:t>hoz</w:t>
      </w:r>
      <w:r w:rsidR="001041A2">
        <w:t>:</w:t>
      </w:r>
      <w:r w:rsidRPr="00F537B6">
        <w:t xml:space="preserve"> Itt kerül</w:t>
      </w:r>
      <w:r>
        <w:t>nek</w:t>
      </w:r>
      <w:r w:rsidRPr="00F537B6">
        <w:t xml:space="preserve"> </w:t>
      </w:r>
      <w:r>
        <w:t>rögzítésre a vizek, levegő, termőföld védelme, hulladék-gazdálkodás</w:t>
      </w:r>
      <w:r w:rsidR="00B90520">
        <w:t>, ártalmatlanítás</w:t>
      </w:r>
      <w:r>
        <w:t xml:space="preserve">, zaj, rezgés védelem. </w:t>
      </w:r>
    </w:p>
    <w:p w:rsidR="00125D33" w:rsidRDefault="00125D33" w:rsidP="00125D33"/>
    <w:p w:rsidR="00125D33" w:rsidRPr="00CB42DD" w:rsidRDefault="001041A2" w:rsidP="00125D33">
      <w:pPr>
        <w:pStyle w:val="Style7"/>
        <w:widowControl/>
        <w:tabs>
          <w:tab w:val="left" w:leader="dot" w:pos="8933"/>
        </w:tabs>
        <w:rPr>
          <w:bCs/>
          <w:caps/>
        </w:rPr>
      </w:pPr>
      <w:r>
        <w:rPr>
          <w:rFonts w:ascii="Times New Roman" w:hAnsi="Times New Roman" w:cs="Times New Roman"/>
        </w:rPr>
        <w:t>I</w:t>
      </w:r>
      <w:r w:rsidR="00125D33" w:rsidRPr="00125D33">
        <w:rPr>
          <w:rFonts w:ascii="Times New Roman" w:hAnsi="Times New Roman" w:cs="Times New Roman"/>
        </w:rPr>
        <w:t>V. fejezet:</w:t>
      </w:r>
      <w:r w:rsidR="00125D33" w:rsidRPr="00125D33">
        <w:rPr>
          <w:rFonts w:ascii="Times New Roman" w:hAnsi="Times New Roman" w:cs="Times New Roman"/>
          <w:caps/>
        </w:rPr>
        <w:t xml:space="preserve"> </w:t>
      </w:r>
      <w:r w:rsidR="00125D33">
        <w:rPr>
          <w:rFonts w:ascii="Times New Roman" w:hAnsi="Times New Roman" w:cs="Times New Roman"/>
          <w:caps/>
        </w:rPr>
        <w:t>K</w:t>
      </w:r>
      <w:r w:rsidR="00125D33" w:rsidRPr="00125D33">
        <w:rPr>
          <w:rFonts w:ascii="Times New Roman" w:hAnsi="Times New Roman" w:cs="Times New Roman"/>
        </w:rPr>
        <w:t>özművek előírásai</w:t>
      </w:r>
    </w:p>
    <w:p w:rsidR="00125D33" w:rsidRDefault="00125D33" w:rsidP="00125D33">
      <w:r>
        <w:t xml:space="preserve">A </w:t>
      </w:r>
      <w:r w:rsidR="00B90520">
        <w:t>13</w:t>
      </w:r>
      <w:r>
        <w:t>-</w:t>
      </w:r>
      <w:r w:rsidR="00B90520">
        <w:t>16</w:t>
      </w:r>
      <w:r w:rsidRPr="00F537B6">
        <w:t>.</w:t>
      </w:r>
      <w:r>
        <w:t xml:space="preserve"> </w:t>
      </w:r>
      <w:r w:rsidRPr="00F537B6">
        <w:t>§-</w:t>
      </w:r>
      <w:r>
        <w:t>ok</w:t>
      </w:r>
      <w:r w:rsidRPr="00F537B6">
        <w:t>hoz</w:t>
      </w:r>
      <w:r w:rsidR="001041A2">
        <w:t>:</w:t>
      </w:r>
      <w:r>
        <w:t xml:space="preserve"> Vízellátás, szennyvíz</w:t>
      </w:r>
      <w:r w:rsidR="00B90520">
        <w:t>-</w:t>
      </w:r>
      <w:r>
        <w:t xml:space="preserve">, csapadék vízelvezetés, villamos energia ellátás, hírközlés szabályozása. </w:t>
      </w:r>
    </w:p>
    <w:p w:rsidR="00125D33" w:rsidRPr="00125D33" w:rsidRDefault="00125D33" w:rsidP="00125D33">
      <w:pPr>
        <w:rPr>
          <w:rFonts w:ascii="Arial" w:hAnsi="Arial" w:cs="Arial"/>
          <w:b/>
          <w:caps/>
          <w:sz w:val="22"/>
          <w:szCs w:val="22"/>
        </w:rPr>
      </w:pPr>
    </w:p>
    <w:p w:rsidR="00254E19" w:rsidRDefault="00B90520" w:rsidP="00254E19">
      <w:pPr>
        <w:pStyle w:val="Style7"/>
        <w:widowControl/>
        <w:tabs>
          <w:tab w:val="left" w:leader="dot" w:pos="8933"/>
        </w:tabs>
        <w:rPr>
          <w:rFonts w:ascii="Times New Roman" w:hAnsi="Times New Roman" w:cs="Times New Roman"/>
        </w:rPr>
      </w:pPr>
      <w:r w:rsidRPr="00125D33">
        <w:rPr>
          <w:rFonts w:ascii="Times New Roman" w:hAnsi="Times New Roman" w:cs="Times New Roman"/>
        </w:rPr>
        <w:t>V. fejezet:</w:t>
      </w:r>
      <w:r w:rsidRPr="00125D33">
        <w:rPr>
          <w:rFonts w:ascii="Times New Roman" w:hAnsi="Times New Roman" w:cs="Times New Roman"/>
          <w:caps/>
        </w:rPr>
        <w:t xml:space="preserve"> </w:t>
      </w:r>
      <w:r w:rsidRPr="00B90520">
        <w:rPr>
          <w:rFonts w:ascii="Times New Roman" w:hAnsi="Times New Roman" w:cs="Times New Roman"/>
        </w:rPr>
        <w:t>R</w:t>
      </w:r>
      <w:r>
        <w:rPr>
          <w:rFonts w:ascii="Times New Roman" w:hAnsi="Times New Roman" w:cs="Times New Roman"/>
        </w:rPr>
        <w:t>é</w:t>
      </w:r>
      <w:r w:rsidRPr="00B90520">
        <w:rPr>
          <w:rFonts w:ascii="Times New Roman" w:hAnsi="Times New Roman" w:cs="Times New Roman"/>
        </w:rPr>
        <w:t>szletes</w:t>
      </w:r>
      <w:r w:rsidR="00254E19" w:rsidRPr="00254E19">
        <w:rPr>
          <w:rFonts w:ascii="Times New Roman" w:hAnsi="Times New Roman" w:cs="Times New Roman"/>
        </w:rPr>
        <w:t xml:space="preserve"> övezetek előírás</w:t>
      </w:r>
      <w:r w:rsidR="001041A2">
        <w:rPr>
          <w:rFonts w:ascii="Times New Roman" w:hAnsi="Times New Roman" w:cs="Times New Roman"/>
        </w:rPr>
        <w:t>ok</w:t>
      </w:r>
    </w:p>
    <w:p w:rsidR="00B90520" w:rsidRDefault="00B90520" w:rsidP="00B90520">
      <w:pPr>
        <w:rPr>
          <w:rFonts w:ascii="Arial" w:hAnsi="Arial" w:cs="Arial"/>
          <w:b/>
          <w:bCs/>
          <w:sz w:val="22"/>
          <w:szCs w:val="22"/>
        </w:rPr>
      </w:pPr>
      <w:r>
        <w:t>A 17. §-hoz: Területfelhasználási egysége</w:t>
      </w:r>
      <w:r w:rsidRPr="00125D33">
        <w:t>k</w:t>
      </w:r>
    </w:p>
    <w:p w:rsidR="00254E19" w:rsidRPr="00254E19" w:rsidRDefault="00254E19" w:rsidP="00254E19">
      <w:pPr>
        <w:pStyle w:val="Style7"/>
        <w:widowControl/>
        <w:tabs>
          <w:tab w:val="left" w:leader="dot" w:pos="8933"/>
        </w:tabs>
        <w:rPr>
          <w:rFonts w:ascii="Times New Roman" w:hAnsi="Times New Roman" w:cs="Times New Roman"/>
        </w:rPr>
      </w:pPr>
      <w:r w:rsidRPr="00254E19">
        <w:rPr>
          <w:rFonts w:ascii="Times New Roman" w:hAnsi="Times New Roman" w:cs="Times New Roman"/>
        </w:rPr>
        <w:t xml:space="preserve">A </w:t>
      </w:r>
      <w:r w:rsidR="00B90520">
        <w:rPr>
          <w:rFonts w:ascii="Times New Roman" w:hAnsi="Times New Roman" w:cs="Times New Roman"/>
        </w:rPr>
        <w:t>18</w:t>
      </w:r>
      <w:r w:rsidRPr="00254E19">
        <w:rPr>
          <w:rFonts w:ascii="Times New Roman" w:hAnsi="Times New Roman" w:cs="Times New Roman"/>
        </w:rPr>
        <w:t>-</w:t>
      </w:r>
      <w:r w:rsidR="00B90520">
        <w:rPr>
          <w:rFonts w:ascii="Times New Roman" w:hAnsi="Times New Roman" w:cs="Times New Roman"/>
        </w:rPr>
        <w:t>6</w:t>
      </w:r>
      <w:r w:rsidR="001041A2">
        <w:rPr>
          <w:rFonts w:ascii="Times New Roman" w:hAnsi="Times New Roman" w:cs="Times New Roman"/>
        </w:rPr>
        <w:t>2</w:t>
      </w:r>
      <w:r w:rsidRPr="00254E19">
        <w:rPr>
          <w:rFonts w:ascii="Times New Roman" w:hAnsi="Times New Roman" w:cs="Times New Roman"/>
        </w:rPr>
        <w:t>. §-okhoz.</w:t>
      </w:r>
      <w:r>
        <w:rPr>
          <w:rFonts w:ascii="Times New Roman" w:hAnsi="Times New Roman" w:cs="Times New Roman"/>
        </w:rPr>
        <w:t xml:space="preserve"> Övezeti szabályozás</w:t>
      </w:r>
    </w:p>
    <w:p w:rsidR="00254E19" w:rsidRPr="00254E19" w:rsidRDefault="00254E19" w:rsidP="00254E19">
      <w:pPr>
        <w:pStyle w:val="Style7"/>
        <w:widowControl/>
        <w:tabs>
          <w:tab w:val="left" w:leader="dot" w:pos="8933"/>
        </w:tabs>
        <w:rPr>
          <w:rFonts w:ascii="Times New Roman" w:hAnsi="Times New Roman" w:cs="Times New Roman"/>
        </w:rPr>
      </w:pPr>
    </w:p>
    <w:p w:rsidR="00254E19" w:rsidRPr="00CB42DD" w:rsidRDefault="00B90520" w:rsidP="00254E19">
      <w:pPr>
        <w:pStyle w:val="Style7"/>
        <w:widowControl/>
        <w:tabs>
          <w:tab w:val="left" w:leader="dot" w:pos="8933"/>
        </w:tabs>
        <w:rPr>
          <w:bCs/>
          <w:caps/>
        </w:rPr>
      </w:pPr>
      <w:r>
        <w:rPr>
          <w:rFonts w:ascii="Times New Roman" w:hAnsi="Times New Roman" w:cs="Times New Roman"/>
        </w:rPr>
        <w:t>VI</w:t>
      </w:r>
      <w:r w:rsidR="00254E19" w:rsidRPr="00254E19">
        <w:rPr>
          <w:rFonts w:ascii="Times New Roman" w:hAnsi="Times New Roman" w:cs="Times New Roman"/>
        </w:rPr>
        <w:t>. fejezet:</w:t>
      </w:r>
      <w:r w:rsidR="00254E19" w:rsidRPr="00254E19">
        <w:rPr>
          <w:rFonts w:ascii="Times New Roman" w:hAnsi="Times New Roman" w:cs="Times New Roman"/>
          <w:caps/>
        </w:rPr>
        <w:t xml:space="preserve"> </w:t>
      </w:r>
      <w:r w:rsidR="00254E19" w:rsidRPr="00254E19">
        <w:rPr>
          <w:rFonts w:ascii="Times New Roman" w:hAnsi="Times New Roman" w:cs="Times New Roman"/>
        </w:rPr>
        <w:t>Beépítésre</w:t>
      </w:r>
      <w:r w:rsidR="00254E19">
        <w:rPr>
          <w:rFonts w:ascii="Times New Roman" w:hAnsi="Times New Roman" w:cs="Times New Roman"/>
        </w:rPr>
        <w:t xml:space="preserve"> nem</w:t>
      </w:r>
      <w:r w:rsidR="00254E19" w:rsidRPr="00254E19">
        <w:rPr>
          <w:rFonts w:ascii="Times New Roman" w:hAnsi="Times New Roman" w:cs="Times New Roman"/>
        </w:rPr>
        <w:t xml:space="preserve"> szánt </w:t>
      </w:r>
      <w:r w:rsidR="00254E19">
        <w:rPr>
          <w:rFonts w:ascii="Times New Roman" w:hAnsi="Times New Roman" w:cs="Times New Roman"/>
        </w:rPr>
        <w:t>építési</w:t>
      </w:r>
      <w:r w:rsidR="00254E19" w:rsidRPr="00254E19">
        <w:rPr>
          <w:rFonts w:ascii="Times New Roman" w:hAnsi="Times New Roman" w:cs="Times New Roman"/>
        </w:rPr>
        <w:t xml:space="preserve"> övezetek előírásai</w:t>
      </w:r>
    </w:p>
    <w:p w:rsidR="00254E19" w:rsidRPr="00254E19" w:rsidRDefault="00254E19" w:rsidP="00254E19">
      <w:pPr>
        <w:pStyle w:val="Style7"/>
        <w:widowControl/>
        <w:tabs>
          <w:tab w:val="left" w:leader="dot" w:pos="8933"/>
        </w:tabs>
        <w:rPr>
          <w:rFonts w:ascii="Times New Roman" w:hAnsi="Times New Roman" w:cs="Times New Roman"/>
        </w:rPr>
      </w:pPr>
      <w:r w:rsidRPr="00254E19">
        <w:rPr>
          <w:rFonts w:ascii="Times New Roman" w:hAnsi="Times New Roman" w:cs="Times New Roman"/>
        </w:rPr>
        <w:t xml:space="preserve">A </w:t>
      </w:r>
      <w:r w:rsidR="009A34F6">
        <w:rPr>
          <w:rFonts w:ascii="Times New Roman" w:hAnsi="Times New Roman" w:cs="Times New Roman"/>
        </w:rPr>
        <w:t>63</w:t>
      </w:r>
      <w:r w:rsidRPr="00254E19">
        <w:rPr>
          <w:rFonts w:ascii="Times New Roman" w:hAnsi="Times New Roman" w:cs="Times New Roman"/>
        </w:rPr>
        <w:t>-</w:t>
      </w:r>
      <w:r>
        <w:rPr>
          <w:rFonts w:ascii="Times New Roman" w:hAnsi="Times New Roman" w:cs="Times New Roman"/>
        </w:rPr>
        <w:t>8</w:t>
      </w:r>
      <w:r w:rsidR="001041A2">
        <w:rPr>
          <w:rFonts w:ascii="Times New Roman" w:hAnsi="Times New Roman" w:cs="Times New Roman"/>
        </w:rPr>
        <w:t>4</w:t>
      </w:r>
      <w:r w:rsidRPr="00254E19">
        <w:rPr>
          <w:rFonts w:ascii="Times New Roman" w:hAnsi="Times New Roman" w:cs="Times New Roman"/>
        </w:rPr>
        <w:t>. §-okhoz</w:t>
      </w:r>
      <w:r w:rsidR="001041A2">
        <w:rPr>
          <w:rFonts w:ascii="Times New Roman" w:hAnsi="Times New Roman" w:cs="Times New Roman"/>
        </w:rPr>
        <w:t>:</w:t>
      </w:r>
      <w:r>
        <w:rPr>
          <w:rFonts w:ascii="Times New Roman" w:hAnsi="Times New Roman" w:cs="Times New Roman"/>
        </w:rPr>
        <w:t xml:space="preserve"> Övezeti szabályozás</w:t>
      </w:r>
    </w:p>
    <w:p w:rsidR="00125D33" w:rsidRDefault="00125D33" w:rsidP="00125D33">
      <w:pPr>
        <w:pStyle w:val="Style7"/>
        <w:widowControl/>
        <w:tabs>
          <w:tab w:val="left" w:leader="dot" w:pos="8933"/>
        </w:tabs>
        <w:rPr>
          <w:rFonts w:ascii="Times New Roman" w:hAnsi="Times New Roman" w:cs="Times New Roman"/>
        </w:rPr>
      </w:pPr>
    </w:p>
    <w:p w:rsidR="00254E19" w:rsidRPr="00254E19" w:rsidRDefault="009A34F6" w:rsidP="00254E19">
      <w:pPr>
        <w:pStyle w:val="Style7"/>
        <w:widowControl/>
        <w:tabs>
          <w:tab w:val="left" w:leader="dot" w:pos="8923"/>
        </w:tabs>
        <w:rPr>
          <w:rStyle w:val="FontStyle16"/>
          <w:rFonts w:ascii="Times New Roman" w:hAnsi="Times New Roman" w:cs="Times New Roman"/>
          <w:b w:val="0"/>
          <w:sz w:val="24"/>
          <w:szCs w:val="24"/>
        </w:rPr>
      </w:pPr>
      <w:r>
        <w:rPr>
          <w:rFonts w:ascii="Times New Roman" w:hAnsi="Times New Roman" w:cs="Times New Roman"/>
        </w:rPr>
        <w:t>VII</w:t>
      </w:r>
      <w:r w:rsidR="00254E19" w:rsidRPr="00254E19">
        <w:rPr>
          <w:rFonts w:ascii="Times New Roman" w:hAnsi="Times New Roman" w:cs="Times New Roman"/>
        </w:rPr>
        <w:t>. fejezet:</w:t>
      </w:r>
      <w:r w:rsidR="00254E19" w:rsidRPr="00254E19">
        <w:rPr>
          <w:rFonts w:ascii="Times New Roman" w:hAnsi="Times New Roman" w:cs="Times New Roman"/>
          <w:caps/>
        </w:rPr>
        <w:t xml:space="preserve"> </w:t>
      </w:r>
      <w:r w:rsidR="00254E19" w:rsidRPr="00254E19">
        <w:rPr>
          <w:rStyle w:val="FontStyle16"/>
          <w:rFonts w:ascii="Times New Roman" w:hAnsi="Times New Roman" w:cs="Times New Roman"/>
          <w:b w:val="0"/>
          <w:sz w:val="24"/>
          <w:szCs w:val="24"/>
        </w:rPr>
        <w:t>Z</w:t>
      </w:r>
      <w:r w:rsidR="00254E19">
        <w:rPr>
          <w:rStyle w:val="FontStyle16"/>
          <w:rFonts w:ascii="Times New Roman" w:hAnsi="Times New Roman" w:cs="Times New Roman"/>
          <w:b w:val="0"/>
          <w:sz w:val="24"/>
          <w:szCs w:val="24"/>
        </w:rPr>
        <w:t>áró rendelkezések</w:t>
      </w:r>
    </w:p>
    <w:p w:rsidR="00051430" w:rsidRDefault="00254E19" w:rsidP="001A19F3">
      <w:pPr>
        <w:jc w:val="both"/>
      </w:pPr>
      <w:r>
        <w:t xml:space="preserve">A </w:t>
      </w:r>
      <w:r w:rsidR="009A34F6">
        <w:t>8</w:t>
      </w:r>
      <w:r w:rsidR="001041A2">
        <w:t>4-8</w:t>
      </w:r>
      <w:r w:rsidR="009A34F6">
        <w:t>5</w:t>
      </w:r>
      <w:r>
        <w:t xml:space="preserve">. §. </w:t>
      </w:r>
      <w:r w:rsidR="00051430">
        <w:t xml:space="preserve">Itt kerül </w:t>
      </w:r>
      <w:r w:rsidR="003F16D0">
        <w:t xml:space="preserve">megállapításra a rendelet hatályba lépése. </w:t>
      </w:r>
      <w:r w:rsidR="00051430">
        <w:t xml:space="preserve"> </w:t>
      </w:r>
    </w:p>
    <w:p w:rsidR="00722167" w:rsidRDefault="00722167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9A34F6" w:rsidRDefault="009A34F6" w:rsidP="001A19F3"/>
    <w:p w:rsidR="00E07F63" w:rsidRDefault="00E07F63" w:rsidP="001A19F3"/>
    <w:p w:rsidR="00E07F63" w:rsidRDefault="00E07F63" w:rsidP="001A19F3">
      <w:bookmarkStart w:id="0" w:name="_GoBack"/>
      <w:bookmarkEnd w:id="0"/>
    </w:p>
    <w:p w:rsidR="009A34F6" w:rsidRDefault="009A34F6" w:rsidP="001A19F3"/>
    <w:p w:rsidR="001A19F3" w:rsidRDefault="001A19F3" w:rsidP="001A19F3">
      <w:pPr>
        <w:jc w:val="center"/>
        <w:rPr>
          <w:b/>
        </w:rPr>
      </w:pPr>
      <w:r w:rsidRPr="00EC23D0">
        <w:rPr>
          <w:b/>
          <w:u w:val="single"/>
        </w:rPr>
        <w:t>Hatásvizsgálat</w:t>
      </w:r>
      <w:r w:rsidRPr="00A85581">
        <w:rPr>
          <w:b/>
        </w:rPr>
        <w:t xml:space="preserve"> </w:t>
      </w:r>
    </w:p>
    <w:p w:rsidR="001A19F3" w:rsidRPr="00722167" w:rsidRDefault="00722167" w:rsidP="003F16D0">
      <w:pPr>
        <w:jc w:val="center"/>
        <w:rPr>
          <w:b/>
          <w:u w:val="single"/>
        </w:rPr>
      </w:pPr>
      <w:r w:rsidRPr="003F16D0">
        <w:rPr>
          <w:b/>
          <w:u w:val="single"/>
        </w:rPr>
        <w:t>A</w:t>
      </w:r>
      <w:r w:rsidR="003F16D0" w:rsidRPr="003F16D0">
        <w:rPr>
          <w:b/>
          <w:u w:val="single"/>
        </w:rPr>
        <w:t xml:space="preserve">  nem közművel összegyűjtött háztartási szennyvíz begyűjtésére vonatkozó helyi közszolgáltatásról</w:t>
      </w:r>
      <w:r w:rsidRPr="00722167">
        <w:rPr>
          <w:b/>
          <w:bCs/>
          <w:u w:val="single"/>
        </w:rPr>
        <w:t xml:space="preserve"> </w:t>
      </w:r>
      <w:r w:rsidRPr="00722167">
        <w:rPr>
          <w:b/>
          <w:u w:val="single"/>
        </w:rPr>
        <w:t xml:space="preserve">szóló </w:t>
      </w:r>
      <w:r w:rsidR="001A19F3" w:rsidRPr="00722167">
        <w:rPr>
          <w:b/>
          <w:u w:val="single"/>
        </w:rPr>
        <w:t>önkormányzati rendelet megalkotásához:</w:t>
      </w:r>
    </w:p>
    <w:p w:rsidR="001A19F3" w:rsidRDefault="001A19F3" w:rsidP="001A19F3">
      <w:pPr>
        <w:jc w:val="both"/>
      </w:pPr>
    </w:p>
    <w:p w:rsidR="003F16D0" w:rsidRDefault="003F16D0" w:rsidP="001A19F3">
      <w:pPr>
        <w:jc w:val="both"/>
      </w:pPr>
    </w:p>
    <w:p w:rsidR="001A19F3" w:rsidRDefault="001A19F3" w:rsidP="001A19F3">
      <w:pPr>
        <w:jc w:val="both"/>
      </w:pPr>
      <w:r w:rsidRPr="00351E61">
        <w:rPr>
          <w:i/>
        </w:rPr>
        <w:t>A jogalkotásról</w:t>
      </w:r>
      <w:r>
        <w:t xml:space="preserve"> szóló 2010. évi CXXX. törvény 17.</w:t>
      </w:r>
      <w:r w:rsidR="00351E61">
        <w:t xml:space="preserve"> </w:t>
      </w:r>
      <w:r>
        <w:t>§ (1) bekezdése értelmében a jogszabá</w:t>
      </w:r>
      <w:r w:rsidR="00351E61">
        <w:t>-</w:t>
      </w:r>
      <w:r>
        <w:t>lyok előkészítése során előzetes hatásvizsgálatot kell lefogytatni, a 17.</w:t>
      </w:r>
      <w:r w:rsidR="00351E61">
        <w:t xml:space="preserve"> </w:t>
      </w:r>
      <w:r>
        <w:t xml:space="preserve">§ (2) bekezdés pedig meghatározza, hogy a jogszabály előkészítőjének a hatásvizsgálat során milyen szempontokat kell vizsgálni. </w:t>
      </w:r>
    </w:p>
    <w:p w:rsidR="001A19F3" w:rsidRPr="00351E61" w:rsidRDefault="001A19F3" w:rsidP="001A19F3">
      <w:pPr>
        <w:jc w:val="both"/>
      </w:pPr>
      <w:r>
        <w:t xml:space="preserve">Erre tekintettel </w:t>
      </w:r>
      <w:r w:rsidRPr="00351E61">
        <w:t>a Balaton</w:t>
      </w:r>
      <w:r w:rsidR="00351E61" w:rsidRPr="00351E61">
        <w:t>akali</w:t>
      </w:r>
      <w:r w:rsidRPr="00351E61">
        <w:t xml:space="preserve"> Község Önkormányzat Képviselőtestületének </w:t>
      </w:r>
      <w:r w:rsidR="00902CD8" w:rsidRPr="00426DDE">
        <w:rPr>
          <w:i/>
          <w:snapToGrid w:val="0"/>
        </w:rPr>
        <w:t>Balatonakali</w:t>
      </w:r>
      <w:r w:rsidR="00902CD8">
        <w:rPr>
          <w:i/>
          <w:snapToGrid w:val="0"/>
        </w:rPr>
        <w:t xml:space="preserve"> község</w:t>
      </w:r>
      <w:r w:rsidR="00902CD8" w:rsidRPr="00426DDE">
        <w:rPr>
          <w:i/>
          <w:snapToGrid w:val="0"/>
        </w:rPr>
        <w:t xml:space="preserve"> Helyi Építési Szabályzatáról</w:t>
      </w:r>
      <w:r w:rsidR="00902CD8">
        <w:rPr>
          <w:i/>
          <w:snapToGrid w:val="0"/>
        </w:rPr>
        <w:t xml:space="preserve"> </w:t>
      </w:r>
      <w:r w:rsidR="003F16D0" w:rsidRPr="00351E61">
        <w:t>szóló</w:t>
      </w:r>
      <w:r w:rsidRPr="00351E61">
        <w:t xml:space="preserve"> önkormányzati rendelet megalkotásának várható következményeiről – az előzetes hatásvizsgálat tükrében – az alábbi tájékoztatást adom: </w:t>
      </w:r>
    </w:p>
    <w:p w:rsidR="001A19F3" w:rsidRDefault="001A19F3" w:rsidP="001A19F3">
      <w:pPr>
        <w:jc w:val="both"/>
      </w:pPr>
      <w:r>
        <w:t xml:space="preserve"> </w:t>
      </w:r>
    </w:p>
    <w:p w:rsidR="001A19F3" w:rsidRPr="000F795C" w:rsidRDefault="001A19F3" w:rsidP="001A19F3">
      <w:pPr>
        <w:autoSpaceDE w:val="0"/>
        <w:autoSpaceDN w:val="0"/>
        <w:adjustRightInd w:val="0"/>
        <w:jc w:val="both"/>
        <w:rPr>
          <w:b/>
          <w:bCs/>
          <w:iCs/>
        </w:rPr>
      </w:pPr>
      <w:r w:rsidRPr="000F795C">
        <w:rPr>
          <w:b/>
          <w:bCs/>
          <w:iCs/>
        </w:rPr>
        <w:t>1. A jogszabály társadalmi, gazdasági, költségvetési hatásai</w:t>
      </w:r>
    </w:p>
    <w:p w:rsidR="003F16D0" w:rsidRDefault="003F16D0" w:rsidP="001A19F3">
      <w:pPr>
        <w:jc w:val="both"/>
      </w:pPr>
    </w:p>
    <w:p w:rsidR="00902CD8" w:rsidRDefault="00902CD8" w:rsidP="003F16D0">
      <w:pPr>
        <w:jc w:val="both"/>
      </w:pPr>
      <w:r>
        <w:t>Az önkormányzat köteles meghatározott időközönként felülvizsgálni rendezési tervét</w:t>
      </w:r>
      <w:r w:rsidR="00783CD6">
        <w:t>,</w:t>
      </w:r>
      <w:r>
        <w:t xml:space="preserve"> mely hosszútávra meghatározza a település építési, fejlesztési kereteit.</w:t>
      </w:r>
    </w:p>
    <w:p w:rsidR="009A34F6" w:rsidRDefault="00902CD8" w:rsidP="003F16D0">
      <w:pPr>
        <w:jc w:val="both"/>
      </w:pPr>
      <w:r>
        <w:t>Legutoljára 2010-ben történt „részleges” felülvizsgálata a rendezési tervnek, akkor is inkább az SCD csoport kemping fejlesztési terveinek ill. kisebb jelentőségű pontatlanságok átvezeté-sére került sor.</w:t>
      </w:r>
      <w:r w:rsidR="009A34F6">
        <w:t xml:space="preserve"> </w:t>
      </w:r>
    </w:p>
    <w:p w:rsidR="00902CD8" w:rsidRDefault="009A34F6" w:rsidP="003F16D0">
      <w:pPr>
        <w:jc w:val="both"/>
      </w:pPr>
      <w:r>
        <w:t>Majd 2014-ben készült el a jelenleg hatályos HÉSZ.</w:t>
      </w:r>
    </w:p>
    <w:p w:rsidR="00783CD6" w:rsidRDefault="00783CD6" w:rsidP="001A19F3">
      <w:pPr>
        <w:jc w:val="both"/>
      </w:pPr>
    </w:p>
    <w:p w:rsidR="00783CD6" w:rsidRDefault="001A19F3" w:rsidP="001A19F3">
      <w:pPr>
        <w:jc w:val="both"/>
      </w:pPr>
      <w:r>
        <w:t xml:space="preserve">Társadalmi hatása </w:t>
      </w:r>
      <w:r w:rsidR="00902CD8">
        <w:t>a fenti indokok miatt kiemelt fontosságú.</w:t>
      </w:r>
      <w:r w:rsidR="00783CD6">
        <w:t xml:space="preserve"> </w:t>
      </w:r>
      <w:r w:rsidR="00722167">
        <w:t>A rendelet megalkotásának jelentős</w:t>
      </w:r>
      <w:r>
        <w:t xml:space="preserve"> </w:t>
      </w:r>
      <w:r w:rsidR="00783CD6">
        <w:t xml:space="preserve">gazdasági, </w:t>
      </w:r>
      <w:r w:rsidRPr="000F795C">
        <w:t xml:space="preserve">költségvetési </w:t>
      </w:r>
      <w:r w:rsidR="00902CD8">
        <w:t xml:space="preserve">hatása van. </w:t>
      </w:r>
      <w:r w:rsidR="00783CD6">
        <w:t>Kijelöli a település fejlesztési, fejlődési irányait.</w:t>
      </w:r>
    </w:p>
    <w:p w:rsidR="001A19F3" w:rsidRPr="000F795C" w:rsidRDefault="001A19F3" w:rsidP="001A19F3">
      <w:pPr>
        <w:autoSpaceDE w:val="0"/>
        <w:autoSpaceDN w:val="0"/>
        <w:adjustRightInd w:val="0"/>
        <w:ind w:left="1080" w:hanging="540"/>
        <w:jc w:val="both"/>
      </w:pPr>
    </w:p>
    <w:p w:rsidR="001A19F3" w:rsidRPr="000F795C" w:rsidRDefault="001A19F3" w:rsidP="001A19F3">
      <w:pPr>
        <w:tabs>
          <w:tab w:val="left" w:pos="540"/>
        </w:tabs>
        <w:autoSpaceDE w:val="0"/>
        <w:autoSpaceDN w:val="0"/>
        <w:adjustRightInd w:val="0"/>
        <w:jc w:val="both"/>
        <w:rPr>
          <w:b/>
          <w:bCs/>
          <w:iCs/>
        </w:rPr>
      </w:pPr>
      <w:r w:rsidRPr="000F795C">
        <w:rPr>
          <w:b/>
          <w:bCs/>
          <w:iCs/>
        </w:rPr>
        <w:t>2. A jogszabály környezeti és egészségi következményei</w:t>
      </w:r>
    </w:p>
    <w:p w:rsidR="00783CD6" w:rsidRDefault="001A19F3" w:rsidP="001A19F3">
      <w:pPr>
        <w:autoSpaceDE w:val="0"/>
        <w:autoSpaceDN w:val="0"/>
        <w:adjustRightInd w:val="0"/>
        <w:jc w:val="both"/>
      </w:pPr>
      <w:r w:rsidRPr="000F795C">
        <w:t xml:space="preserve">A rendelet </w:t>
      </w:r>
      <w:r>
        <w:t xml:space="preserve">megalkotásának </w:t>
      </w:r>
      <w:r w:rsidRPr="000F795C">
        <w:t xml:space="preserve">közvetlen </w:t>
      </w:r>
      <w:r>
        <w:t xml:space="preserve">környezeti </w:t>
      </w:r>
      <w:r w:rsidR="00783CD6">
        <w:t>hatása a területek beépíthetőségének szabá-lyozásával ill. a fokozottan védendő területeken korlátok, tilalmak felállításával kiemelt fontosságú. Leszabályozza az övezeti építési lehetőségeket, védi az értékeket.</w:t>
      </w:r>
    </w:p>
    <w:p w:rsidR="001A19F3" w:rsidRPr="000F795C" w:rsidRDefault="00783CD6" w:rsidP="001A19F3">
      <w:pPr>
        <w:autoSpaceDE w:val="0"/>
        <w:autoSpaceDN w:val="0"/>
        <w:adjustRightInd w:val="0"/>
        <w:jc w:val="both"/>
      </w:pPr>
      <w:r>
        <w:t>Közvetlen e</w:t>
      </w:r>
      <w:r w:rsidR="001A19F3" w:rsidRPr="000F795C">
        <w:t>gé</w:t>
      </w:r>
      <w:r>
        <w:t>szségi következményei nincsenek, közvetetten segít megőrizni a természet, a táj, a levegő, a vidék és a Balaton állapotát, mely kih</w:t>
      </w:r>
      <w:r w:rsidR="00797B3C">
        <w:t>at az itt élő, nyaraló emberek életére</w:t>
      </w:r>
      <w:r>
        <w:t>.</w:t>
      </w:r>
    </w:p>
    <w:p w:rsidR="001A19F3" w:rsidRPr="000F795C" w:rsidRDefault="001A19F3" w:rsidP="001A19F3">
      <w:pPr>
        <w:autoSpaceDE w:val="0"/>
        <w:autoSpaceDN w:val="0"/>
        <w:adjustRightInd w:val="0"/>
        <w:jc w:val="both"/>
      </w:pPr>
    </w:p>
    <w:p w:rsidR="001A19F3" w:rsidRPr="000F795C" w:rsidRDefault="001A19F3" w:rsidP="001A19F3">
      <w:pPr>
        <w:tabs>
          <w:tab w:val="left" w:pos="540"/>
        </w:tabs>
        <w:autoSpaceDE w:val="0"/>
        <w:autoSpaceDN w:val="0"/>
        <w:adjustRightInd w:val="0"/>
        <w:jc w:val="both"/>
        <w:rPr>
          <w:b/>
          <w:bCs/>
          <w:iCs/>
        </w:rPr>
      </w:pPr>
      <w:r w:rsidRPr="000F795C">
        <w:rPr>
          <w:b/>
          <w:bCs/>
          <w:iCs/>
        </w:rPr>
        <w:t>3.  A jogszabály adminisztratív terheket befolyásoló hatásai</w:t>
      </w:r>
    </w:p>
    <w:p w:rsidR="001A19F3" w:rsidRPr="000F795C" w:rsidRDefault="001A19F3" w:rsidP="001A19F3">
      <w:pPr>
        <w:autoSpaceDE w:val="0"/>
        <w:autoSpaceDN w:val="0"/>
        <w:adjustRightInd w:val="0"/>
        <w:jc w:val="both"/>
      </w:pPr>
      <w:r w:rsidRPr="000F795C">
        <w:t xml:space="preserve">A rendelet </w:t>
      </w:r>
      <w:r>
        <w:t xml:space="preserve">megalkotása </w:t>
      </w:r>
      <w:r w:rsidRPr="000F795C">
        <w:t xml:space="preserve">az eredeti szabályozáshoz képes többlet adminisztratív terhet nem keletkeztet, sem az állampolgárok, sem az önkormányzat részéről. </w:t>
      </w:r>
    </w:p>
    <w:p w:rsidR="001A19F3" w:rsidRPr="000F795C" w:rsidRDefault="001A19F3" w:rsidP="001A19F3">
      <w:pPr>
        <w:autoSpaceDE w:val="0"/>
        <w:autoSpaceDN w:val="0"/>
        <w:adjustRightInd w:val="0"/>
        <w:ind w:firstLine="240"/>
        <w:jc w:val="both"/>
        <w:rPr>
          <w:i/>
          <w:iCs/>
        </w:rPr>
      </w:pPr>
    </w:p>
    <w:p w:rsidR="001A19F3" w:rsidRPr="000F795C" w:rsidRDefault="001A19F3" w:rsidP="001A19F3">
      <w:pPr>
        <w:autoSpaceDE w:val="0"/>
        <w:autoSpaceDN w:val="0"/>
        <w:adjustRightInd w:val="0"/>
        <w:jc w:val="both"/>
        <w:rPr>
          <w:b/>
          <w:bCs/>
        </w:rPr>
      </w:pPr>
      <w:r w:rsidRPr="000F795C">
        <w:rPr>
          <w:b/>
          <w:bCs/>
        </w:rPr>
        <w:t>4.</w:t>
      </w:r>
      <w:r w:rsidR="00351E61">
        <w:rPr>
          <w:b/>
          <w:bCs/>
        </w:rPr>
        <w:t xml:space="preserve"> </w:t>
      </w:r>
      <w:r w:rsidRPr="000F795C">
        <w:rPr>
          <w:b/>
          <w:bCs/>
        </w:rPr>
        <w:t>A jogszabály megalkotásának szükségessége, a jogalkotás elmaradásának várható kö</w:t>
      </w:r>
      <w:r w:rsidR="00351E61">
        <w:rPr>
          <w:b/>
          <w:bCs/>
        </w:rPr>
        <w:t>-</w:t>
      </w:r>
      <w:r w:rsidRPr="000F795C">
        <w:rPr>
          <w:b/>
          <w:bCs/>
        </w:rPr>
        <w:t>vetkezményei</w:t>
      </w:r>
    </w:p>
    <w:p w:rsidR="00902CD8" w:rsidRPr="000F795C" w:rsidRDefault="001A19F3" w:rsidP="00902CD8">
      <w:pPr>
        <w:jc w:val="both"/>
      </w:pPr>
      <w:r w:rsidRPr="000F795C">
        <w:rPr>
          <w:bCs/>
          <w:iCs/>
        </w:rPr>
        <w:t xml:space="preserve">A </w:t>
      </w:r>
      <w:r w:rsidR="00902CD8">
        <w:rPr>
          <w:bCs/>
          <w:iCs/>
        </w:rPr>
        <w:t>rendelet megalkotásával</w:t>
      </w:r>
      <w:r>
        <w:rPr>
          <w:bCs/>
          <w:iCs/>
        </w:rPr>
        <w:t xml:space="preserve"> a</w:t>
      </w:r>
      <w:r w:rsidR="00902CD8">
        <w:rPr>
          <w:bCs/>
          <w:iCs/>
        </w:rPr>
        <w:t xml:space="preserve">z önkormányzat eleget tesz a felmerült változtatási igényeknek, és várhatóan </w:t>
      </w:r>
      <w:r w:rsidR="009A34F6">
        <w:rPr>
          <w:bCs/>
          <w:iCs/>
        </w:rPr>
        <w:t xml:space="preserve">több </w:t>
      </w:r>
      <w:r w:rsidR="00902CD8">
        <w:rPr>
          <w:bCs/>
          <w:iCs/>
        </w:rPr>
        <w:t>évre van egy átfogó, mindenre kiterjedő rendezési terve, me</w:t>
      </w:r>
      <w:r w:rsidR="00783CD6">
        <w:rPr>
          <w:bCs/>
          <w:iCs/>
        </w:rPr>
        <w:t>l</w:t>
      </w:r>
      <w:r w:rsidR="00902CD8">
        <w:rPr>
          <w:bCs/>
          <w:iCs/>
        </w:rPr>
        <w:t>ly</w:t>
      </w:r>
      <w:r w:rsidR="00783CD6">
        <w:rPr>
          <w:bCs/>
          <w:iCs/>
        </w:rPr>
        <w:t>el</w:t>
      </w:r>
      <w:r w:rsidR="00902CD8">
        <w:rPr>
          <w:bCs/>
          <w:iCs/>
        </w:rPr>
        <w:t xml:space="preserve"> a napi gya-korlatban </w:t>
      </w:r>
      <w:r w:rsidR="00902CD8">
        <w:t>remélhetőleg az építéshatóság feladata válik egyszerűbbé</w:t>
      </w:r>
      <w:r w:rsidR="00783CD6">
        <w:t>, egzakt</w:t>
      </w:r>
      <w:r w:rsidR="00797B3C">
        <w:t>t</w:t>
      </w:r>
      <w:r w:rsidR="00783CD6">
        <w:t>á</w:t>
      </w:r>
      <w:r w:rsidR="00797B3C">
        <w:t>, kiszámíthatóvá.</w:t>
      </w:r>
    </w:p>
    <w:p w:rsidR="001A19F3" w:rsidRPr="000F795C" w:rsidRDefault="001A19F3" w:rsidP="001A19F3">
      <w:pPr>
        <w:jc w:val="both"/>
        <w:rPr>
          <w:bCs/>
          <w:iCs/>
        </w:rPr>
      </w:pPr>
    </w:p>
    <w:p w:rsidR="001A19F3" w:rsidRPr="000F795C" w:rsidRDefault="00351E61" w:rsidP="001A19F3">
      <w:pPr>
        <w:jc w:val="both"/>
        <w:rPr>
          <w:b/>
          <w:bCs/>
        </w:rPr>
      </w:pPr>
      <w:r>
        <w:rPr>
          <w:b/>
          <w:bCs/>
        </w:rPr>
        <w:t>5</w:t>
      </w:r>
      <w:r w:rsidR="001A19F3" w:rsidRPr="000F795C">
        <w:rPr>
          <w:b/>
          <w:bCs/>
        </w:rPr>
        <w:t>.</w:t>
      </w:r>
      <w:r>
        <w:rPr>
          <w:b/>
          <w:bCs/>
        </w:rPr>
        <w:t xml:space="preserve"> </w:t>
      </w:r>
      <w:r w:rsidR="001A19F3" w:rsidRPr="000F795C">
        <w:rPr>
          <w:b/>
          <w:bCs/>
        </w:rPr>
        <w:t>A jogszabály alkalmazásához szükséges személyi, szervezeti, tárgyi és pénzügyi felté</w:t>
      </w:r>
      <w:r>
        <w:rPr>
          <w:b/>
          <w:bCs/>
        </w:rPr>
        <w:t>-</w:t>
      </w:r>
      <w:r w:rsidR="001A19F3" w:rsidRPr="000F795C">
        <w:rPr>
          <w:b/>
          <w:bCs/>
        </w:rPr>
        <w:t>telek</w:t>
      </w:r>
    </w:p>
    <w:p w:rsidR="001A19F3" w:rsidRDefault="001A19F3" w:rsidP="001A19F3">
      <w:pPr>
        <w:autoSpaceDE w:val="0"/>
        <w:autoSpaceDN w:val="0"/>
        <w:adjustRightInd w:val="0"/>
        <w:jc w:val="both"/>
      </w:pPr>
      <w:r w:rsidRPr="000F795C">
        <w:t>A rendelet</w:t>
      </w:r>
      <w:r>
        <w:t xml:space="preserve"> megalkotása </w:t>
      </w:r>
      <w:r w:rsidRPr="000F795C">
        <w:t xml:space="preserve">többlet személyi, szervezeti és tárgyi feltételt nem igényel. </w:t>
      </w:r>
    </w:p>
    <w:p w:rsidR="00902CD8" w:rsidRDefault="00902CD8" w:rsidP="001A19F3">
      <w:pPr>
        <w:autoSpaceDE w:val="0"/>
        <w:autoSpaceDN w:val="0"/>
        <w:adjustRightInd w:val="0"/>
        <w:jc w:val="both"/>
      </w:pPr>
      <w:r>
        <w:t xml:space="preserve">Az előkészítés </w:t>
      </w:r>
      <w:r w:rsidR="00783CD6">
        <w:t>több éves tartamára a költségeket a költségvetésben biztosította az önkor</w:t>
      </w:r>
      <w:r w:rsidR="00797B3C">
        <w:t>-</w:t>
      </w:r>
      <w:r w:rsidR="00783CD6">
        <w:t>mányzat.</w:t>
      </w:r>
    </w:p>
    <w:p w:rsidR="001A19F3" w:rsidRPr="000F795C" w:rsidRDefault="00902CD8" w:rsidP="009A34F6">
      <w:pPr>
        <w:jc w:val="both"/>
      </w:pPr>
      <w:r>
        <w:t>A költségek betervezettek, ill. a megkötött településrendezési szerződések alapján befolyó pénzekből bizonyos mértékig kompenzál</w:t>
      </w:r>
      <w:r w:rsidR="00797B3C">
        <w:t>ódn</w:t>
      </w:r>
      <w:r>
        <w:t>ak.</w:t>
      </w:r>
    </w:p>
    <w:p w:rsidR="001A19F3" w:rsidRPr="00F537B6" w:rsidRDefault="001A19F3" w:rsidP="001A19F3"/>
    <w:sectPr w:rsidR="001A19F3" w:rsidRPr="00F537B6">
      <w:footerReference w:type="default" r:id="rId9"/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37530" w:rsidRDefault="00337530" w:rsidP="00351E61">
      <w:r>
        <w:separator/>
      </w:r>
    </w:p>
  </w:endnote>
  <w:endnote w:type="continuationSeparator" w:id="0">
    <w:p w:rsidR="00337530" w:rsidRDefault="00337530" w:rsidP="00351E61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rebuchet MS">
    <w:panose1 w:val="020B0603020202020204"/>
    <w:charset w:val="EE"/>
    <w:family w:val="swiss"/>
    <w:pitch w:val="variable"/>
    <w:sig w:usb0="00000687" w:usb1="00000000" w:usb2="00000000" w:usb3="00000000" w:csb0="0000009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Cambria">
    <w:panose1 w:val="02040503050406030204"/>
    <w:charset w:val="EE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351E61" w:rsidRDefault="00351E61">
    <w:pPr>
      <w:pStyle w:val="llb"/>
      <w:jc w:val="center"/>
    </w:pPr>
    <w:r>
      <w:fldChar w:fldCharType="begin"/>
    </w:r>
    <w:r>
      <w:instrText>PAGE   \* MERGEFORMAT</w:instrText>
    </w:r>
    <w:r>
      <w:fldChar w:fldCharType="separate"/>
    </w:r>
    <w:r w:rsidR="00337530">
      <w:rPr>
        <w:noProof/>
      </w:rPr>
      <w:t>1</w:t>
    </w:r>
    <w:r>
      <w:fldChar w:fldCharType="end"/>
    </w:r>
  </w:p>
  <w:p w:rsidR="00351E61" w:rsidRDefault="00351E61">
    <w:pPr>
      <w:pStyle w:val="llb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37530" w:rsidRDefault="00337530" w:rsidP="00351E61">
      <w:r>
        <w:separator/>
      </w:r>
    </w:p>
  </w:footnote>
  <w:footnote w:type="continuationSeparator" w:id="0">
    <w:p w:rsidR="00337530" w:rsidRDefault="00337530" w:rsidP="00351E61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796C678D"/>
    <w:multiLevelType w:val="hybridMultilevel"/>
    <w:tmpl w:val="78A26CFE"/>
    <w:lvl w:ilvl="0" w:tplc="B554E298">
      <w:start w:val="1"/>
      <w:numFmt w:val="upperRoman"/>
      <w:lvlText w:val="%1."/>
      <w:lvlJc w:val="left"/>
      <w:pPr>
        <w:ind w:left="780" w:hanging="720"/>
      </w:pPr>
      <w:rPr>
        <w:rFonts w:hint="default"/>
      </w:rPr>
    </w:lvl>
    <w:lvl w:ilvl="1" w:tplc="040E0019" w:tentative="1">
      <w:start w:val="1"/>
      <w:numFmt w:val="lowerLetter"/>
      <w:lvlText w:val="%2."/>
      <w:lvlJc w:val="left"/>
      <w:pPr>
        <w:ind w:left="1140" w:hanging="360"/>
      </w:pPr>
    </w:lvl>
    <w:lvl w:ilvl="2" w:tplc="040E001B" w:tentative="1">
      <w:start w:val="1"/>
      <w:numFmt w:val="lowerRoman"/>
      <w:lvlText w:val="%3."/>
      <w:lvlJc w:val="right"/>
      <w:pPr>
        <w:ind w:left="1860" w:hanging="180"/>
      </w:pPr>
    </w:lvl>
    <w:lvl w:ilvl="3" w:tplc="040E000F" w:tentative="1">
      <w:start w:val="1"/>
      <w:numFmt w:val="decimal"/>
      <w:lvlText w:val="%4."/>
      <w:lvlJc w:val="left"/>
      <w:pPr>
        <w:ind w:left="2580" w:hanging="360"/>
      </w:pPr>
    </w:lvl>
    <w:lvl w:ilvl="4" w:tplc="040E0019" w:tentative="1">
      <w:start w:val="1"/>
      <w:numFmt w:val="lowerLetter"/>
      <w:lvlText w:val="%5."/>
      <w:lvlJc w:val="left"/>
      <w:pPr>
        <w:ind w:left="3300" w:hanging="360"/>
      </w:pPr>
    </w:lvl>
    <w:lvl w:ilvl="5" w:tplc="040E001B" w:tentative="1">
      <w:start w:val="1"/>
      <w:numFmt w:val="lowerRoman"/>
      <w:lvlText w:val="%6."/>
      <w:lvlJc w:val="right"/>
      <w:pPr>
        <w:ind w:left="4020" w:hanging="180"/>
      </w:pPr>
    </w:lvl>
    <w:lvl w:ilvl="6" w:tplc="040E000F" w:tentative="1">
      <w:start w:val="1"/>
      <w:numFmt w:val="decimal"/>
      <w:lvlText w:val="%7."/>
      <w:lvlJc w:val="left"/>
      <w:pPr>
        <w:ind w:left="4740" w:hanging="360"/>
      </w:pPr>
    </w:lvl>
    <w:lvl w:ilvl="7" w:tplc="040E0019" w:tentative="1">
      <w:start w:val="1"/>
      <w:numFmt w:val="lowerLetter"/>
      <w:lvlText w:val="%8."/>
      <w:lvlJc w:val="left"/>
      <w:pPr>
        <w:ind w:left="5460" w:hanging="360"/>
      </w:pPr>
    </w:lvl>
    <w:lvl w:ilvl="8" w:tplc="040E001B" w:tentative="1">
      <w:start w:val="1"/>
      <w:numFmt w:val="lowerRoman"/>
      <w:lvlText w:val="%9."/>
      <w:lvlJc w:val="right"/>
      <w:pPr>
        <w:ind w:left="6180" w:hanging="18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hyphenationZone w:val="425"/>
  <w:characterSpacingControl w:val="doNotCompress"/>
  <w:savePreviewPicture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1A19F3"/>
    <w:rsid w:val="00015093"/>
    <w:rsid w:val="00051430"/>
    <w:rsid w:val="000E575B"/>
    <w:rsid w:val="001041A2"/>
    <w:rsid w:val="00125D33"/>
    <w:rsid w:val="001A19F3"/>
    <w:rsid w:val="00254E19"/>
    <w:rsid w:val="00337530"/>
    <w:rsid w:val="00351E61"/>
    <w:rsid w:val="003E10D2"/>
    <w:rsid w:val="003F16D0"/>
    <w:rsid w:val="0044014A"/>
    <w:rsid w:val="004C1403"/>
    <w:rsid w:val="004D7696"/>
    <w:rsid w:val="00503586"/>
    <w:rsid w:val="005115B8"/>
    <w:rsid w:val="00602A21"/>
    <w:rsid w:val="00717414"/>
    <w:rsid w:val="00722167"/>
    <w:rsid w:val="00783CD6"/>
    <w:rsid w:val="00797B3C"/>
    <w:rsid w:val="00902CD8"/>
    <w:rsid w:val="00980743"/>
    <w:rsid w:val="009A34F6"/>
    <w:rsid w:val="009E132C"/>
    <w:rsid w:val="00B90520"/>
    <w:rsid w:val="00CA7C9A"/>
    <w:rsid w:val="00D4010A"/>
    <w:rsid w:val="00E07F63"/>
    <w:rsid w:val="00FB2B3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hu-H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A19F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A19F3"/>
    <w:pPr>
      <w:jc w:val="both"/>
    </w:pPr>
  </w:style>
  <w:style w:type="paragraph" w:customStyle="1" w:styleId="Default">
    <w:name w:val="Default"/>
    <w:rsid w:val="001A1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A19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fej">
    <w:name w:val="header"/>
    <w:basedOn w:val="Norml"/>
    <w:link w:val="lfejChar"/>
    <w:rsid w:val="00351E6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51E61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351E6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51E61"/>
    <w:rPr>
      <w:sz w:val="24"/>
      <w:szCs w:val="24"/>
    </w:rPr>
  </w:style>
  <w:style w:type="paragraph" w:customStyle="1" w:styleId="Style6">
    <w:name w:val="Style6"/>
    <w:basedOn w:val="Norml"/>
    <w:uiPriority w:val="99"/>
    <w:rsid w:val="00602A21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l"/>
    <w:rsid w:val="00125D33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6">
    <w:name w:val="Font Style16"/>
    <w:rsid w:val="00125D33"/>
    <w:rPr>
      <w:rFonts w:ascii="Trebuchet MS" w:hAnsi="Trebuchet MS" w:cs="Trebuchet MS"/>
      <w:b/>
      <w:bCs/>
      <w:color w:val="000000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hu-HU" w:eastAsia="hu-HU" w:bidi="ar-SA"/>
      </w:rPr>
    </w:rPrDefault>
    <w:pPrDefault/>
  </w:docDefaults>
  <w:latentStyles w:defLockedState="0" w:defUIPriority="0" w:defSemiHidden="0" w:defUnhideWhenUsed="0" w:defQFormat="0" w:count="267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footer" w:uiPriority="99"/>
    <w:lsdException w:name="caption" w:semiHidden="1" w:unhideWhenUsed="1" w:qFormat="1"/>
    <w:lsdException w:name="Title" w:qFormat="1"/>
    <w:lsdException w:name="Subtitle" w:qFormat="1"/>
    <w:lsdException w:name="Strong" w:qFormat="1"/>
    <w:lsdException w:name="Emphasis" w:qFormat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</w:latentStyles>
  <w:style w:type="paragraph" w:default="1" w:styleId="Norml">
    <w:name w:val="Normal"/>
    <w:qFormat/>
    <w:rsid w:val="001A19F3"/>
    <w:rPr>
      <w:sz w:val="24"/>
      <w:szCs w:val="24"/>
    </w:rPr>
  </w:style>
  <w:style w:type="character" w:default="1" w:styleId="Bekezdsalapbettpusa">
    <w:name w:val="Default Paragraph Font"/>
    <w:uiPriority w:val="1"/>
    <w:semiHidden/>
    <w:unhideWhenUsed/>
  </w:style>
  <w:style w:type="table" w:default="1" w:styleId="Normltblzat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mlista">
    <w:name w:val="No List"/>
    <w:uiPriority w:val="99"/>
    <w:semiHidden/>
    <w:unhideWhenUsed/>
  </w:style>
  <w:style w:type="paragraph" w:styleId="Szvegtrzs">
    <w:name w:val="Body Text"/>
    <w:basedOn w:val="Norml"/>
    <w:rsid w:val="001A19F3"/>
    <w:pPr>
      <w:jc w:val="both"/>
    </w:pPr>
  </w:style>
  <w:style w:type="paragraph" w:customStyle="1" w:styleId="Default">
    <w:name w:val="Default"/>
    <w:rsid w:val="001A19F3"/>
    <w:pPr>
      <w:autoSpaceDE w:val="0"/>
      <w:autoSpaceDN w:val="0"/>
      <w:adjustRightInd w:val="0"/>
    </w:pPr>
    <w:rPr>
      <w:rFonts w:ascii="Arial" w:hAnsi="Arial" w:cs="Arial"/>
      <w:color w:val="000000"/>
      <w:sz w:val="24"/>
      <w:szCs w:val="24"/>
    </w:rPr>
  </w:style>
  <w:style w:type="paragraph" w:styleId="NormlWeb">
    <w:name w:val="Normal (Web)"/>
    <w:basedOn w:val="Norml"/>
    <w:rsid w:val="001A19F3"/>
    <w:pPr>
      <w:spacing w:before="100" w:beforeAutospacing="1" w:after="100" w:afterAutospacing="1"/>
    </w:pPr>
    <w:rPr>
      <w:rFonts w:ascii="Arial Unicode MS" w:eastAsia="Arial Unicode MS" w:hAnsi="Arial Unicode MS" w:cs="Arial Unicode MS"/>
    </w:rPr>
  </w:style>
  <w:style w:type="paragraph" w:styleId="lfej">
    <w:name w:val="header"/>
    <w:basedOn w:val="Norml"/>
    <w:link w:val="lfejChar"/>
    <w:rsid w:val="00351E61"/>
    <w:pPr>
      <w:tabs>
        <w:tab w:val="center" w:pos="4536"/>
        <w:tab w:val="right" w:pos="9072"/>
      </w:tabs>
    </w:pPr>
  </w:style>
  <w:style w:type="character" w:customStyle="1" w:styleId="lfejChar">
    <w:name w:val="Élőfej Char"/>
    <w:link w:val="lfej"/>
    <w:rsid w:val="00351E61"/>
    <w:rPr>
      <w:sz w:val="24"/>
      <w:szCs w:val="24"/>
    </w:rPr>
  </w:style>
  <w:style w:type="paragraph" w:styleId="llb">
    <w:name w:val="footer"/>
    <w:basedOn w:val="Norml"/>
    <w:link w:val="llbChar"/>
    <w:uiPriority w:val="99"/>
    <w:rsid w:val="00351E61"/>
    <w:pPr>
      <w:tabs>
        <w:tab w:val="center" w:pos="4536"/>
        <w:tab w:val="right" w:pos="9072"/>
      </w:tabs>
    </w:pPr>
  </w:style>
  <w:style w:type="character" w:customStyle="1" w:styleId="llbChar">
    <w:name w:val="Élőláb Char"/>
    <w:link w:val="llb"/>
    <w:uiPriority w:val="99"/>
    <w:rsid w:val="00351E61"/>
    <w:rPr>
      <w:sz w:val="24"/>
      <w:szCs w:val="24"/>
    </w:rPr>
  </w:style>
  <w:style w:type="paragraph" w:customStyle="1" w:styleId="Style6">
    <w:name w:val="Style6"/>
    <w:basedOn w:val="Norml"/>
    <w:uiPriority w:val="99"/>
    <w:rsid w:val="00602A21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paragraph" w:customStyle="1" w:styleId="Style7">
    <w:name w:val="Style7"/>
    <w:basedOn w:val="Norml"/>
    <w:rsid w:val="00125D33"/>
    <w:pPr>
      <w:widowControl w:val="0"/>
      <w:autoSpaceDE w:val="0"/>
      <w:autoSpaceDN w:val="0"/>
      <w:adjustRightInd w:val="0"/>
    </w:pPr>
    <w:rPr>
      <w:rFonts w:ascii="Trebuchet MS" w:hAnsi="Trebuchet MS" w:cs="Trebuchet MS"/>
    </w:rPr>
  </w:style>
  <w:style w:type="character" w:customStyle="1" w:styleId="FontStyle16">
    <w:name w:val="Font Style16"/>
    <w:rsid w:val="00125D33"/>
    <w:rPr>
      <w:rFonts w:ascii="Trebuchet MS" w:hAnsi="Trebuchet MS" w:cs="Trebuchet MS"/>
      <w:b/>
      <w:bCs/>
      <w:color w:val="000000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7188250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892008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21949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70943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484796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8693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4533060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164841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94977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884036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401870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685101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1557298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403609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317487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207642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38074321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217587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440830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6233405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7610981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35172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374488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7048140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47442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31329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1387489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261326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20569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2238600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30518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45655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601534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840412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9252915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0373966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0023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863060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948250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192603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58155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16157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1974447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234547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7558577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629123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4675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518465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3358537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7356367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06891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1195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737019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7946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9847319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2490762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434320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789283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4828139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6056542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8986075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4213463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11124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6808978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0409116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3947549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631607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736225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37334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0055148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4026011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529335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7428535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76582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129017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2331231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129670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631126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21285452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16623954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68244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009201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927142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0069594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3469058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4845914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56907742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2135244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090880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6551058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1718458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2779128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838957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5683398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98901522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1353410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09524811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18790555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5476963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3969293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3066324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45837774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50735696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3814597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64620526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4653569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540849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7637252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89249857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2101664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822223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19931706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4474317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7357946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08066862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288924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  <w:div w:id="214527514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-téma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4D01D548-F50E-4C6D-A916-AAD60866896C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3</Pages>
  <Words>794</Words>
  <Characters>5486</Characters>
  <Application>Microsoft Office Word</Application>
  <DocSecurity>0</DocSecurity>
  <Lines>45</Lines>
  <Paragraphs>12</Paragraphs>
  <ScaleCrop>false</ScaleCrop>
  <HeadingPairs>
    <vt:vector size="2" baseType="variant">
      <vt:variant>
        <vt:lpstr>Cím</vt:lpstr>
      </vt:variant>
      <vt:variant>
        <vt:i4>1</vt:i4>
      </vt:variant>
    </vt:vector>
  </HeadingPairs>
  <TitlesOfParts>
    <vt:vector size="1" baseType="lpstr">
      <vt:lpstr>Indoklás</vt:lpstr>
    </vt:vector>
  </TitlesOfParts>
  <Company>Balatonudvari Önkormányzat</Company>
  <LinksUpToDate>false</LinksUpToDate>
  <CharactersWithSpaces>6268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Indoklás</dc:title>
  <dc:creator>Felhasználó</dc:creator>
  <cp:lastModifiedBy>User</cp:lastModifiedBy>
  <cp:revision>4</cp:revision>
  <dcterms:created xsi:type="dcterms:W3CDTF">2023-11-13T10:42:00Z</dcterms:created>
  <dcterms:modified xsi:type="dcterms:W3CDTF">2023-11-16T14:45:00Z</dcterms:modified>
</cp:coreProperties>
</file>